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bcde339d04d5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52444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Školjić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195.105,78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220.785,12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188.472,48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227.205,30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6.420,18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1.408,00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6.420,18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promatranom razdoblju ostavren je manjak prihoda poslovanja u ukupnom iznosu od 6.420,18 eur . Rezultat manjka poslovanja u odnosu na isto razdoblje prethodne godine  generiran je knjiženjem plaće  za 6mj. na rashode poslovanja . U poromatranom razdoblju za 2025.g. plaća je knjižena na obveze i na rashode budućeg razdoblja. 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150.928,03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177.704,10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117,7</w:t>
            </w:r>
          </w:p>
        </w:tc>
      </w:tr>
    </w:tbl>
    <w:p>
      <w:pPr>
        <w:spacing w:before="0" w:after="0"/>
      </w:pPr>
    </w:p>
    <w:p>
      <w:r>
        <w:t xml:space="preserve">Povećanje prihoda iz nadležnog proračuna odnosi se na povećane troškove rashoda za zaposlene i materijalne rashode.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146.047,90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181.853,12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124,5</w:t>
            </w:r>
          </w:p>
        </w:tc>
      </w:tr>
    </w:tbl>
    <w:p>
      <w:pPr>
        <w:spacing w:before="0" w:after="0"/>
      </w:pPr>
    </w:p>
    <w:p>
      <w:r>
        <w:t xml:space="preserve">Povećanje rashoda za zaposlene u odnosu na isto razdoblje prošle godine zbog zapošljavanja dodatne odgojiteljice (povaćnje broja korisnika vrtića) , kao i povećanje osnovice za obraćun plaća i dodavanje na plaću neoporezivih dodataka 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41.899,90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45.270,19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108,0</w:t>
            </w:r>
          </w:p>
        </w:tc>
      </w:tr>
    </w:tbl>
    <w:p>
      <w:pPr>
        <w:spacing w:before="0" w:after="0"/>
      </w:pPr>
    </w:p>
    <w:p>
      <w:r>
        <w:t xml:space="preserve">Povećanje materijalnih rashoda  za 8 % u odnosu na predhodnu godinu.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127,4</w:t>
            </w:r>
          </w:p>
        </w:tc>
      </w:tr>
    </w:tbl>
    <w:p>
      <w:pPr>
        <w:spacing w:before="0" w:after="0"/>
      </w:pPr>
    </w:p>
    <w:p>
      <w:r>
        <w:t xml:space="preserve">Povećanje odlazaka na edukacije.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187,40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400,16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213,5</w:t>
            </w:r>
          </w:p>
        </w:tc>
      </w:tr>
    </w:tbl>
    <w:p>
      <w:pPr>
        <w:spacing w:before="0" w:after="0"/>
      </w:pPr>
    </w:p>
    <w:p>
      <w:r>
        <w:t xml:space="preserve">Povećanje troškova edukacija.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13.704,48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16.284,57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118,8</w:t>
            </w:r>
          </w:p>
        </w:tc>
      </w:tr>
    </w:tbl>
    <w:p>
      <w:pPr>
        <w:spacing w:before="0" w:after="0"/>
      </w:pPr>
    </w:p>
    <w:p>
      <w:r>
        <w:t xml:space="preserve">Povećanje rashoda za prehranu.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476,57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142,0</w:t>
            </w:r>
          </w:p>
        </w:tc>
      </w:tr>
    </w:tbl>
    <w:p>
      <w:pPr>
        <w:spacing w:before="0" w:after="0"/>
      </w:pPr>
    </w:p>
    <w:p>
      <w:r>
        <w:t xml:space="preserve">Povećanje rashoda za poštanske usluge i usluge telefona i mobitela.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7.236,73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237,3</w:t>
            </w:r>
          </w:p>
        </w:tc>
      </w:tr>
    </w:tbl>
    <w:p>
      <w:pPr>
        <w:spacing w:before="0" w:after="0"/>
      </w:pPr>
    </w:p>
    <w:p>
      <w:r>
        <w:t xml:space="preserve">Povećanje rashoda za  tekuće i investicijsko održavanje , popravak sustava klimatizacije i grijanja.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2.056,70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822,7</w:t>
            </w:r>
          </w:p>
        </w:tc>
      </w:tr>
    </w:tbl>
    <w:p>
      <w:pPr>
        <w:spacing w:before="0" w:after="0"/>
      </w:pPr>
    </w:p>
    <w:p>
      <w:r>
        <w:t xml:space="preserve">Povećanje rashoda za dodtne aktivnosti u vrtiću ( odlazak u muzej, zračnu luku )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3.288,30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odnose se na rashode poslovanja ostvarene u 5 i 6 . mj. 2026.g.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b) Prekoračenje 61 do 180 dana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D232B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3.271,01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odvjetničke usluge , spor koji je okončan u 5. mj 2026.g. , a račun je došao karajem 6 mj 2026.g.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38.935,95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Plaća za 06/2026.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a4b79e6f9b44c5" /></Relationships>
</file>