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475a9d7eb43c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Školjić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334.410,67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420.494,11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331.841,33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448.429,10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27.934,99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31.836,59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 g. ostavren je mank prihoda poslovanja u iznosu od 27.934,99. Manjak je generiran činjenicom da je plaća za 12/2025 ušla u troškove za 2025 g., a doznaka sredstava za plaću bila je u 01/2026 . </w:t>
      </w:r>
    </w:p>
    <w:p>
      <w:r>
        <w:t xml:space="preserve">Manjak prihoda od nefinacijske imovine je ostvaren u iznosu od 3.901,60 eur. DV Školjić ne ostvaruje prihode od prodaje nefinacijeske imovine pa od tuda i manak prihoda od iste. </w:t>
      </w:r>
    </w:p>
    <w:p>
      <w:r>
        <w:t xml:space="preserve">Ukupni manjak za pokriče u idućem razdoblju je 31.836,59 eur.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334.410,67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420.494,11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Prihodi poslovanja povećani su za 25,7% , prvenstveno se to odnosi na prihode iz nadležnog proračuna  koji su povećani za 25,6%.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Ovo se odnosi na sredstva Min. znanosti i obrazovanja i to za javne potrebe u predškolskom odgoju i organizaciju i razvoj kvalitetnih i dostupnih programa predškolskog odgoja.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66.472,91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86.350,45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</w:tbl>
    <w:p>
      <w:pPr>
        <w:spacing w:before="0" w:after="0"/>
      </w:pPr>
    </w:p>
    <w:p>
      <w:r>
        <w:t xml:space="preserve">Ovo su prihodi od korisnika DV tj participacija u troškovima.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265.642,56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333.531,66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Povećani su za 25,6% zbog  dodatnog broja zaposlenih i povećanja plaća.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201.791,12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278.347,64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Povećanje rashoda za 37,9% zbog zapošljavanja još jedne djelatnice i rasta osnovice kao i dodatnih materijalnih prava.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10.199,52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154,3</w:t>
            </w:r>
          </w:p>
        </w:tc>
      </w:tr>
    </w:tbl>
    <w:p>
      <w:pPr>
        <w:spacing w:before="0" w:after="0"/>
      </w:pPr>
    </w:p>
    <w:p>
      <w:r>
        <w:t xml:space="preserve">Povećanje troškova prijevoza, povećanje doprinosa za ZO, sve zbog povećanja bruto osnovice i zapošljavanja jedne djelatnice.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37.118,33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Povećani su za 21,9% zbog povećanih troškova za prehranu.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19.271,28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27.355,42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r>
        <w:t xml:space="preserve">Povećani su troškovi tekućeg i investicijskog održavanja, popravak sustava grijanja i klimatizacije.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Povećani troškovi osiguranja objekta.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Nabavljeni su dodatni ormari za potrebe garderobe.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20.923,99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42,5</w:t>
            </w:r>
          </w:p>
        </w:tc>
      </w:tr>
    </w:tbl>
    <w:p>
      <w:pPr>
        <w:spacing w:before="0" w:after="0"/>
      </w:pPr>
    </w:p>
    <w:p>
      <w:r>
        <w:t xml:space="preserve">Smanjenje vrijednosti ukupne imovine za 42,5% rezultat je amrtizacije.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Odnose se na više plaćene doprinose  i poreze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12.808,47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13.029,20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Odnosi se na potraživanja za korištenje usluga vrtića , u potraživanja je ušao i 12/2025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334.364,51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452.330,70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</w:tbl>
    <w:p>
      <w:pPr>
        <w:spacing w:before="0" w:after="0"/>
      </w:pPr>
    </w:p>
    <w:p>
      <w:r>
        <w:t xml:space="preserve">Ukupni rashodi poslovanja u funkciji su predškolskog obrazovanja.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Ukupne obveze na kraju izvještajnog razdoblja iznose 30.831,72 eur . Sve su nedospjele. Od toga obveze za zaposlene iznose 28.474,70 eur , naknade trošova zaposlenima 1.111,35 eur, rashodi za materijal i energiju  135,52 eur, rashodi za usluge 420,15 eur, ostali nespmenuti rashodi poslovanja 690,00eur.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9519158e114152" /></Relationships>
</file>