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ca3a57371409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52444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Školjić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149.882,95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195.105,78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145.593,74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188.472,48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4.289,21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6.633,30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4.094,46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5.225,30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 višak prihoda i primitaka je veći u odnosu na 2024.g za 27,6%. Povećanje prihoda u odnosu na isto razdoblje prethodne godine je rezultat povećanja usluga korištenja vrtića . 
Manjak prihoda od nefinacijske imovine je prisutan uvijek iz razloga je DV školjić nema prihoda od prodaje nefinacijske imovine. 
Višak prihoda u odnosu na 2024.g. je veći za 54,7% razlog povećanja je povećanje prihoda od naplate  usluge korištenja vrtića 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na Min. obrazovanja- za nabavu radnih materijala za djecu sa posebnim potrebama 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31.577,32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44.055,35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Razlog povećanja je povećanje cijene usluge korištenja vrtića i  veći broj korisnika.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116.844,03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150.928,03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Razlog povećanja prihoda iz nadležnog proračuna je povećanje rashoda za zaposlene , povećan broj zaposlenika usljed povećanog broja upisane djece.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110.338,45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146.047,90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zaposlene od 32,4% je zbog povećanja broja zaposlenih , dodatno zapošljavanje jednog odgojitelja i spremaćice, kao i nastavak povećanja osnovice za obračun plaća i koeficijanata .  Pozanto je da prema o Zakonu o predškolskom odgoju Općina tj osnivač  dužna uskladiti plaće djelatnika vrtića sa plaćama zaposlenih u sustavu osnovno školskog obrazovanja  pa to radimo u etapma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Djelatnice vrtića su imale više odraženih edukacija u promatranom razdoblju.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iznos naknade za topli obrok.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rashodi nabake uredskog materijala i sredstava za čišćenje i održavanje.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13.704,48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rashodi nabavke namirnica.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Nabavljena nova radna odjeća za pojedine djelatice.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Održavatelj softwera Libusoft cicom povećao naknadu mjesečnu pa je tu razlog povećanja.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Povećane premije osiguranja 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Povećane bankarske usluge 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Ovo su ukupno dospjele obveze na dan 30.06.2025.g. Odnose se na materijalne rashode, odnosno na.
- materijal i sirovine 90,66 eur
- ured. mat i ostali mat rashodi 43,00 eur
- kominalne usluge 132,40
- računalne usluge 45,43
- preplata 29,37 eur za usluge telefona pošte i prijevoza 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c9119235f04236" /></Relationships>
</file>